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FD33CC" w14:textId="77777777" w:rsidR="000D55D4" w:rsidRDefault="000D55D4"/>
    <w:p w14:paraId="31FD33CD" w14:textId="6D8A4116" w:rsidR="000D55D4" w:rsidRDefault="007D2A96" w:rsidP="000D55D4">
      <w:pPr>
        <w:jc w:val="right"/>
      </w:pPr>
      <w:r>
        <w:t xml:space="preserve">En Donostia, </w:t>
      </w:r>
      <w:r w:rsidR="00D93AA1">
        <w:t>a 03</w:t>
      </w:r>
      <w:r w:rsidR="0083284A">
        <w:t xml:space="preserve"> </w:t>
      </w:r>
      <w:r w:rsidR="000D55D4" w:rsidRPr="000D55D4">
        <w:t>de</w:t>
      </w:r>
      <w:r>
        <w:t xml:space="preserve"> Diciembre </w:t>
      </w:r>
      <w:r w:rsidR="0083284A">
        <w:t xml:space="preserve">de </w:t>
      </w:r>
      <w:r>
        <w:t>2018</w:t>
      </w:r>
    </w:p>
    <w:p w14:paraId="31FD33CE" w14:textId="77777777" w:rsidR="000D55D4" w:rsidRDefault="000D55D4"/>
    <w:p w14:paraId="31FD33CF" w14:textId="37163F8A" w:rsidR="000D55D4" w:rsidRDefault="00D93AA1">
      <w:r w:rsidRPr="000D55D4">
        <w:t>Estimado</w:t>
      </w:r>
      <w:r>
        <w:t xml:space="preserve"> </w:t>
      </w:r>
      <w:r w:rsidRPr="000D55D4">
        <w:t>Proveedor</w:t>
      </w:r>
      <w:r w:rsidR="000D55D4" w:rsidRPr="000D55D4">
        <w:t xml:space="preserve">, </w:t>
      </w:r>
    </w:p>
    <w:p w14:paraId="31FD33D0" w14:textId="1EB26A7F" w:rsidR="000D55D4" w:rsidRDefault="000D55D4">
      <w:r w:rsidRPr="000D55D4">
        <w:t xml:space="preserve">Uno de los objetivos que </w:t>
      </w:r>
      <w:r w:rsidR="0083284A">
        <w:t xml:space="preserve">BPXport SLU </w:t>
      </w:r>
      <w:r w:rsidRPr="000D55D4">
        <w:t xml:space="preserve">se plantea como reto diario es la mejora continua de su capacidad para proporcionar a sus Clientes un mejor servicio y atención. Como fórmula de trabajo que </w:t>
      </w:r>
      <w:r w:rsidR="0083284A">
        <w:t xml:space="preserve">permita alcanzar este objetivo BPXport </w:t>
      </w:r>
      <w:r w:rsidR="00D93AA1">
        <w:t xml:space="preserve">SLU </w:t>
      </w:r>
      <w:r w:rsidR="00D93AA1" w:rsidRPr="000D55D4">
        <w:t>está</w:t>
      </w:r>
      <w:r w:rsidRPr="000D55D4">
        <w:t xml:space="preserve"> llevando a cabo la adaptación del Sistema </w:t>
      </w:r>
      <w:r w:rsidR="0083284A">
        <w:t xml:space="preserve">Integrado de Gestión </w:t>
      </w:r>
      <w:r w:rsidRPr="000D55D4">
        <w:t>basado en las Norma</w:t>
      </w:r>
      <w:r w:rsidR="0083284A">
        <w:t xml:space="preserve">s Internacionales UNE-EN 9001, </w:t>
      </w:r>
      <w:r w:rsidR="005E0B16">
        <w:t>14001:2015, OHSAS 18001:2007 y Reglamento EMAS.</w:t>
      </w:r>
    </w:p>
    <w:p w14:paraId="31FD33D1" w14:textId="77777777" w:rsidR="000D55D4" w:rsidRPr="007D2A96" w:rsidRDefault="000D55D4">
      <w:pPr>
        <w:rPr>
          <w:sz w:val="12"/>
        </w:rPr>
      </w:pPr>
    </w:p>
    <w:p w14:paraId="31FD33D2" w14:textId="77777777" w:rsidR="000D55D4" w:rsidRDefault="000D55D4">
      <w:r w:rsidRPr="000D55D4">
        <w:t xml:space="preserve">La capacidad de los Proveedores, es de vital importancia para cumplir los requisitos a los que </w:t>
      </w:r>
      <w:r w:rsidR="0083284A">
        <w:t xml:space="preserve">BPXport SLU </w:t>
      </w:r>
      <w:r w:rsidRPr="000D55D4">
        <w:t xml:space="preserve">se compromete con sus Clientes; por ello uno de los requisitos del Sistema </w:t>
      </w:r>
      <w:r w:rsidR="0083284A">
        <w:t xml:space="preserve">Integrado de Gestión </w:t>
      </w:r>
      <w:r w:rsidRPr="000D55D4">
        <w:t xml:space="preserve">establece la necesidad de evaluar y seleccionar a los Suministradores en función de su capacidad para cumplir con los compromisos comerciales que establecen con </w:t>
      </w:r>
      <w:r w:rsidR="0083284A">
        <w:t>BPXport SLU.</w:t>
      </w:r>
    </w:p>
    <w:p w14:paraId="31FD33D3" w14:textId="77777777" w:rsidR="000D55D4" w:rsidRPr="007D2A96" w:rsidRDefault="000D55D4">
      <w:pPr>
        <w:rPr>
          <w:sz w:val="12"/>
        </w:rPr>
      </w:pPr>
    </w:p>
    <w:p w14:paraId="31FD33D4" w14:textId="77777777" w:rsidR="000D55D4" w:rsidRDefault="000D55D4">
      <w:r w:rsidRPr="000D55D4">
        <w:t xml:space="preserve">Para poder calificarles como Suministradores Homologados de </w:t>
      </w:r>
      <w:r w:rsidR="0083284A">
        <w:t>BPXport SLU se les evaluará</w:t>
      </w:r>
      <w:r w:rsidRPr="000D55D4">
        <w:t xml:space="preserve"> durante el año en base a los pedidos recibidos en base a 3 criterios: calidad, plazo y precio. </w:t>
      </w:r>
    </w:p>
    <w:p w14:paraId="31FD33D5" w14:textId="77777777" w:rsidR="000D55D4" w:rsidRPr="007D2A96" w:rsidRDefault="000D55D4">
      <w:pPr>
        <w:rPr>
          <w:sz w:val="12"/>
        </w:rPr>
      </w:pPr>
    </w:p>
    <w:p w14:paraId="31FD33D6" w14:textId="77777777" w:rsidR="000D55D4" w:rsidRDefault="000D55D4">
      <w:r w:rsidRPr="000D55D4">
        <w:t xml:space="preserve">En base a eso se le comunica que durante este año se le mantiene como proveedor homologado ya que no ha tenido ninguna no conformidad. </w:t>
      </w:r>
    </w:p>
    <w:p w14:paraId="31FD33D7" w14:textId="77777777" w:rsidR="000D55D4" w:rsidRPr="007D2A96" w:rsidRDefault="000D55D4">
      <w:pPr>
        <w:rPr>
          <w:sz w:val="12"/>
        </w:rPr>
      </w:pPr>
    </w:p>
    <w:p w14:paraId="31FD33D8" w14:textId="77777777" w:rsidR="000D55D4" w:rsidRDefault="000D55D4">
      <w:r w:rsidRPr="000D55D4">
        <w:t xml:space="preserve">El establecimiento posterior de relaciones comerciales implicará por su parte que asumen todos los requisitos especificados en nuestros Pedidos, o en su caso en las condiciones particulares establecidas. El incumplimiento de cualquiera de estos requisitos (no conformidad) supondrá una valoración por parte de nuestro Departamento </w:t>
      </w:r>
      <w:r w:rsidR="0083284A">
        <w:t xml:space="preserve">SIG </w:t>
      </w:r>
      <w:r w:rsidRPr="000D55D4">
        <w:t>que podría llegar a suponer en último término, su deshomologación como Proveedor de</w:t>
      </w:r>
      <w:r w:rsidR="0083284A">
        <w:t xml:space="preserve"> BPXport SLU</w:t>
      </w:r>
      <w:r w:rsidRPr="000D55D4">
        <w:t>.</w:t>
      </w:r>
    </w:p>
    <w:p w14:paraId="31FD33D9" w14:textId="77777777" w:rsidR="000D55D4" w:rsidRDefault="000D55D4"/>
    <w:p w14:paraId="31FD33DA" w14:textId="77777777" w:rsidR="000D55D4" w:rsidRDefault="00CA6686">
      <w:r>
        <w:rPr>
          <w:noProof/>
          <w:lang w:eastAsia="es-ES"/>
        </w:rPr>
        <w:drawing>
          <wp:anchor distT="0" distB="0" distL="114300" distR="114300" simplePos="0" relativeHeight="251658240" behindDoc="0" locked="0" layoutInCell="1" allowOverlap="1" wp14:anchorId="31FD3420" wp14:editId="31FD3421">
            <wp:simplePos x="0" y="0"/>
            <wp:positionH relativeFrom="column">
              <wp:posOffset>512792</wp:posOffset>
            </wp:positionH>
            <wp:positionV relativeFrom="paragraph">
              <wp:posOffset>140855</wp:posOffset>
            </wp:positionV>
            <wp:extent cx="1244484" cy="604058"/>
            <wp:effectExtent l="19050" t="0" r="0" b="0"/>
            <wp:wrapNone/>
            <wp:docPr id="1" name="Imagen 1" descr="Firma Beñ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rma Beñat"/>
                    <pic:cNvPicPr>
                      <a:picLocks noChangeAspect="1" noChangeArrowheads="1"/>
                    </pic:cNvPicPr>
                  </pic:nvPicPr>
                  <pic:blipFill>
                    <a:blip r:embed="rId7" cstate="print"/>
                    <a:srcRect/>
                    <a:stretch>
                      <a:fillRect/>
                    </a:stretch>
                  </pic:blipFill>
                  <pic:spPr bwMode="auto">
                    <a:xfrm>
                      <a:off x="0" y="0"/>
                      <a:ext cx="1244484" cy="604058"/>
                    </a:xfrm>
                    <a:prstGeom prst="rect">
                      <a:avLst/>
                    </a:prstGeom>
                    <a:noFill/>
                    <a:ln w="9525">
                      <a:noFill/>
                      <a:miter lim="800000"/>
                      <a:headEnd/>
                      <a:tailEnd/>
                    </a:ln>
                  </pic:spPr>
                </pic:pic>
              </a:graphicData>
            </a:graphic>
          </wp:anchor>
        </w:drawing>
      </w:r>
      <w:r w:rsidR="000D55D4" w:rsidRPr="000D55D4">
        <w:t xml:space="preserve"> Sin más, reciban un Cordial Saludo. </w:t>
      </w:r>
    </w:p>
    <w:p w14:paraId="31FD33DB" w14:textId="77777777" w:rsidR="000D55D4" w:rsidRDefault="0083284A">
      <w:r>
        <w:t>Fdo.:</w:t>
      </w:r>
      <w:r w:rsidR="00CA6686" w:rsidRPr="00CA6686">
        <w:rPr>
          <w:rFonts w:ascii="Times New Roman" w:hAnsi="Times New Roman"/>
          <w:sz w:val="20"/>
        </w:rPr>
        <w:t xml:space="preserve"> </w:t>
      </w:r>
    </w:p>
    <w:p w14:paraId="31FD33DC" w14:textId="77777777" w:rsidR="00CA6686" w:rsidRDefault="00CA6686"/>
    <w:p w14:paraId="31FD33DD" w14:textId="77777777" w:rsidR="0083284A" w:rsidRDefault="0083284A">
      <w:r>
        <w:t>Gerente de BPXport SLU</w:t>
      </w:r>
    </w:p>
    <w:p w14:paraId="31FD33DE" w14:textId="77777777" w:rsidR="000D55D4" w:rsidRPr="00CA6686" w:rsidRDefault="000D55D4">
      <w:pPr>
        <w:rPr>
          <w:b/>
          <w:u w:val="single"/>
        </w:rPr>
      </w:pPr>
      <w:r w:rsidRPr="00CA6686">
        <w:rPr>
          <w:b/>
          <w:u w:val="single"/>
        </w:rPr>
        <w:lastRenderedPageBreak/>
        <w:t xml:space="preserve">INFORMACIÓN REQUISITOS A PROVEEDORES </w:t>
      </w:r>
    </w:p>
    <w:p w14:paraId="31FD33DF" w14:textId="77777777" w:rsidR="000D55D4" w:rsidRDefault="000D55D4"/>
    <w:p w14:paraId="31FD33E0" w14:textId="78434A78" w:rsidR="00277752" w:rsidRDefault="007C4871">
      <w:r>
        <w:t>Desde BPXport SLU</w:t>
      </w:r>
      <w:r w:rsidR="000D55D4">
        <w:t xml:space="preserve"> le informamos que mantenemos implantado un Sistema Integrado de Gestión, segú</w:t>
      </w:r>
      <w:r w:rsidR="00BD333E">
        <w:t>n las normas ISO 9001 (calidad</w:t>
      </w:r>
      <w:r w:rsidR="00D93AA1">
        <w:t>), ISO</w:t>
      </w:r>
      <w:r w:rsidR="000D55D4">
        <w:t xml:space="preserve"> 14001 (medio ambiente)</w:t>
      </w:r>
      <w:r w:rsidR="00BD333E">
        <w:t xml:space="preserve"> y OHSAS 18001 (seguridad y salud)</w:t>
      </w:r>
      <w:r w:rsidR="000D55D4">
        <w:t>, lo cual afecta a</w:t>
      </w:r>
      <w:r w:rsidR="00BD333E">
        <w:t xml:space="preserve"> su relación como proveedor de BPXport SLU </w:t>
      </w:r>
      <w:r w:rsidR="000D55D4">
        <w:t>en las siguientes cuestiones:</w:t>
      </w:r>
    </w:p>
    <w:p w14:paraId="31FD33E1" w14:textId="77777777" w:rsidR="00277752" w:rsidRDefault="00277752"/>
    <w:p w14:paraId="31FD33E2" w14:textId="77777777" w:rsidR="00277752" w:rsidRDefault="00E372FF">
      <w:r>
        <w:t xml:space="preserve"> •</w:t>
      </w:r>
      <w:r w:rsidR="000D55D4">
        <w:t>En lo referente a los requisitos de nuestro sistema</w:t>
      </w:r>
      <w:r w:rsidR="00BD333E">
        <w:t xml:space="preserve"> integrado de gestión</w:t>
      </w:r>
      <w:r w:rsidR="000D55D4">
        <w:t xml:space="preserve">, se somete a todos los proveedores a un proceso de selección, seguimiento y re-evaluación, por lo que cualquier incidencia que comenta será tenida en consideración y tratada según corresponda: </w:t>
      </w:r>
    </w:p>
    <w:p w14:paraId="31FD33E3" w14:textId="77777777" w:rsidR="00277752" w:rsidRDefault="00277752"/>
    <w:p w14:paraId="31FD33E4" w14:textId="77777777" w:rsidR="00277752" w:rsidRDefault="000D55D4">
      <w:r>
        <w:t xml:space="preserve">Se tienen en consideración los siguientes aspectos para homologación de un nuevo proveedor: calidad del producto suministrado (podrán solicitarse muestras para verificación), homologaciones o certificaciones, precio, plazo de entrega. </w:t>
      </w:r>
    </w:p>
    <w:p w14:paraId="31FD33E5" w14:textId="77777777" w:rsidR="00277752" w:rsidRDefault="00277752"/>
    <w:p w14:paraId="31FD33E6" w14:textId="5A8C8427" w:rsidR="00277752" w:rsidRDefault="000D55D4">
      <w:r>
        <w:t xml:space="preserve">Se realizará una reevaluación anual de los proveedores homologados, para ello se tendrán en cuenta tres criterios: Calidad, Precio, Plazo de entrega. Cada aspecto se evaluará sobre 10 puntos, considerándose aprobados aquellos que superen la calificación de 15. </w:t>
      </w:r>
      <w:r w:rsidR="00D93AA1">
        <w:t>Asimismo,</w:t>
      </w:r>
      <w:r>
        <w:t xml:space="preserve"> se tendrán en consideración las no conformidades o incidencias detectadas durante el año, cada una de ellas restará 0,25 puntos a la puntuación total. </w:t>
      </w:r>
    </w:p>
    <w:p w14:paraId="31FD33E7" w14:textId="77777777" w:rsidR="00277752" w:rsidRDefault="00277752"/>
    <w:p w14:paraId="31FD33E8" w14:textId="77777777" w:rsidR="00277752" w:rsidRDefault="000D55D4">
      <w:r>
        <w:t>• En lo referente a los requisitos de nuestro sistema de gestión ambiental velamos por un uso controlado de los recursos naturales y la prevención de la contaminación ambiental. Por lo que, rogamos a todos nuestros trabajadores, colaboradores, proveedores, etc., que respeten estos principios, y el cumplimiento de los requisitos legales de carácter ambiental. Asimismo</w:t>
      </w:r>
      <w:r w:rsidR="00277752">
        <w:t>,</w:t>
      </w:r>
      <w:r>
        <w:t xml:space="preserve"> ponemos e</w:t>
      </w:r>
      <w:r w:rsidR="00277752">
        <w:t>n su conocimiento lo siguiente:</w:t>
      </w:r>
    </w:p>
    <w:p w14:paraId="31FD33E9" w14:textId="77777777" w:rsidR="00277752" w:rsidRDefault="00277752"/>
    <w:p w14:paraId="31FD33EA" w14:textId="79D24419" w:rsidR="00277752" w:rsidRDefault="000D55D4">
      <w:r>
        <w:t xml:space="preserve">Disponemos de una política de gestión, cual puede ser consultada en nuestra web y, </w:t>
      </w:r>
      <w:r w:rsidR="00D93AA1">
        <w:t>que,</w:t>
      </w:r>
      <w:r>
        <w:t xml:space="preserve"> no obstante, incluimos de a</w:t>
      </w:r>
      <w:r w:rsidR="00277752">
        <w:t>nexo en el presente documentos.</w:t>
      </w:r>
    </w:p>
    <w:p w14:paraId="31FD33EB" w14:textId="77777777" w:rsidR="00277752" w:rsidRDefault="00277752"/>
    <w:p w14:paraId="31FD33EC" w14:textId="77777777" w:rsidR="00277752" w:rsidRDefault="000D55D4">
      <w:r>
        <w:t xml:space="preserve"> Para la selección de nuestros proveedores, tenemos en consideración criterios ambientales, por lo que siempre que sea posible necesitamos que nos ofrezca la variedad de producto que tenga más respetuosa con el medio ambiente (Ej.: Papel libre de cloro o reciclado, productos con ecoetiqueta</w:t>
      </w:r>
      <w:bookmarkStart w:id="0" w:name="_GoBack"/>
      <w:bookmarkEnd w:id="0"/>
      <w:r>
        <w:t xml:space="preserve"> o algún tipo de certificación </w:t>
      </w:r>
      <w:r>
        <w:lastRenderedPageBreak/>
        <w:t>ambiental, etc.). Se le solicitará la documentación legal o similar que se considere necesaria para comprobar</w:t>
      </w:r>
      <w:r w:rsidR="00277752">
        <w:t xml:space="preserve"> dichos requisitos.</w:t>
      </w:r>
    </w:p>
    <w:p w14:paraId="31FD33ED" w14:textId="77777777" w:rsidR="00962305" w:rsidRDefault="000D55D4">
      <w:r>
        <w:t xml:space="preserve"> Se deben cumplir los requisitos legales de carácter ambiental que aplique en cada servicio/ suministro de producto, por lo que en el caso de que se le requiera algún tipo de documento, certificado, etc. (para comprobar el cumplimiento de dicha normativa), será facilitada previamente al inicio de sus servicios. El no cumplimiento de la misma puede ser motivo de baja del servicio/ producto que nos suministra. Por norma general, estos documentos serán los indicados en el siguiente cuadro</w:t>
      </w:r>
      <w:r w:rsidR="00277752">
        <w:t>:</w:t>
      </w:r>
    </w:p>
    <w:p w14:paraId="31FD33EE" w14:textId="77777777" w:rsidR="00277752" w:rsidRDefault="0027775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3"/>
        <w:gridCol w:w="4377"/>
      </w:tblGrid>
      <w:tr w:rsidR="00CA6686" w:rsidRPr="00D62F7A" w14:paraId="31FD33F3" w14:textId="77777777" w:rsidTr="00FD6C7F">
        <w:tc>
          <w:tcPr>
            <w:tcW w:w="4605" w:type="dxa"/>
            <w:shd w:val="clear" w:color="auto" w:fill="B5BE00"/>
            <w:vAlign w:val="center"/>
          </w:tcPr>
          <w:p w14:paraId="31FD33EF" w14:textId="77777777" w:rsidR="00FD6C7F" w:rsidRDefault="00FD6C7F" w:rsidP="00FD6C7F">
            <w:pPr>
              <w:spacing w:after="0" w:line="240" w:lineRule="auto"/>
              <w:jc w:val="center"/>
              <w:rPr>
                <w:rFonts w:eastAsia="Calibri"/>
                <w:b/>
                <w:sz w:val="20"/>
                <w:lang w:eastAsia="ar-SA"/>
              </w:rPr>
            </w:pPr>
          </w:p>
          <w:p w14:paraId="31FD33F0" w14:textId="77777777" w:rsidR="00CA6686" w:rsidRDefault="00CA6686" w:rsidP="00FD6C7F">
            <w:pPr>
              <w:spacing w:after="0" w:line="240" w:lineRule="auto"/>
              <w:jc w:val="center"/>
              <w:rPr>
                <w:rFonts w:eastAsia="Calibri"/>
                <w:b/>
                <w:sz w:val="20"/>
                <w:lang w:eastAsia="ar-SA"/>
              </w:rPr>
            </w:pPr>
            <w:r w:rsidRPr="00E25C26">
              <w:rPr>
                <w:rFonts w:eastAsia="Calibri"/>
                <w:b/>
                <w:sz w:val="20"/>
                <w:lang w:eastAsia="ar-SA"/>
              </w:rPr>
              <w:t>PROVEEDOR</w:t>
            </w:r>
            <w:r>
              <w:rPr>
                <w:rFonts w:eastAsia="Calibri"/>
                <w:b/>
                <w:sz w:val="20"/>
                <w:lang w:eastAsia="ar-SA"/>
              </w:rPr>
              <w:t>-A</w:t>
            </w:r>
            <w:r w:rsidRPr="00E25C26">
              <w:rPr>
                <w:rFonts w:eastAsia="Calibri"/>
                <w:b/>
                <w:sz w:val="20"/>
                <w:lang w:eastAsia="ar-SA"/>
              </w:rPr>
              <w:t xml:space="preserve"> / SUBCONTRATISTA</w:t>
            </w:r>
          </w:p>
          <w:p w14:paraId="31FD33F1" w14:textId="77777777" w:rsidR="00FD6C7F" w:rsidRPr="00E25C26" w:rsidRDefault="00FD6C7F" w:rsidP="00FD6C7F">
            <w:pPr>
              <w:spacing w:after="0" w:line="240" w:lineRule="auto"/>
              <w:jc w:val="center"/>
              <w:rPr>
                <w:rFonts w:eastAsia="Calibri"/>
                <w:b/>
                <w:sz w:val="20"/>
                <w:lang w:val="es-MX"/>
              </w:rPr>
            </w:pPr>
          </w:p>
        </w:tc>
        <w:tc>
          <w:tcPr>
            <w:tcW w:w="4606" w:type="dxa"/>
            <w:shd w:val="clear" w:color="auto" w:fill="B5BE00"/>
            <w:vAlign w:val="center"/>
          </w:tcPr>
          <w:p w14:paraId="31FD33F2" w14:textId="77777777" w:rsidR="00CA6686" w:rsidRPr="00D62F7A" w:rsidRDefault="00CA6686" w:rsidP="00FD6C7F">
            <w:pPr>
              <w:spacing w:after="0" w:line="240" w:lineRule="auto"/>
              <w:jc w:val="center"/>
              <w:rPr>
                <w:rFonts w:eastAsia="Calibri"/>
                <w:b/>
                <w:sz w:val="20"/>
                <w:lang w:val="es-MX"/>
              </w:rPr>
            </w:pPr>
            <w:r w:rsidRPr="00E25C26">
              <w:rPr>
                <w:rFonts w:eastAsia="Calibri"/>
                <w:b/>
                <w:sz w:val="20"/>
                <w:lang w:eastAsia="ar-SA"/>
              </w:rPr>
              <w:t>REQUISITO AMBIENTAL</w:t>
            </w:r>
          </w:p>
        </w:tc>
      </w:tr>
      <w:tr w:rsidR="00CA6686" w:rsidRPr="00D62F7A" w14:paraId="31FD33F8" w14:textId="77777777" w:rsidTr="00EC69F4">
        <w:tc>
          <w:tcPr>
            <w:tcW w:w="4605" w:type="dxa"/>
            <w:vAlign w:val="center"/>
          </w:tcPr>
          <w:p w14:paraId="31FD33F4" w14:textId="77777777" w:rsidR="00CA6686" w:rsidRPr="00D62F7A" w:rsidRDefault="00CA6686" w:rsidP="00FD6C7F">
            <w:pPr>
              <w:spacing w:after="0"/>
              <w:jc w:val="center"/>
              <w:rPr>
                <w:rFonts w:eastAsia="Calibri"/>
                <w:sz w:val="20"/>
                <w:lang w:val="es-MX"/>
              </w:rPr>
            </w:pPr>
            <w:r>
              <w:rPr>
                <w:rFonts w:eastAsia="Calibri"/>
                <w:sz w:val="20"/>
                <w:szCs w:val="24"/>
                <w:lang w:eastAsia="ar-SA"/>
              </w:rPr>
              <w:t xml:space="preserve">Gestión </w:t>
            </w:r>
            <w:r w:rsidRPr="00E25C26">
              <w:rPr>
                <w:rFonts w:eastAsia="Calibri"/>
                <w:sz w:val="20"/>
                <w:szCs w:val="24"/>
                <w:lang w:eastAsia="ar-SA"/>
              </w:rPr>
              <w:t>de residuos peligrosos</w:t>
            </w:r>
            <w:r w:rsidRPr="00E25C26">
              <w:rPr>
                <w:rFonts w:eastAsia="Calibri"/>
                <w:sz w:val="18"/>
                <w:lang w:val="es-MX"/>
              </w:rPr>
              <w:t xml:space="preserve"> </w:t>
            </w:r>
          </w:p>
        </w:tc>
        <w:tc>
          <w:tcPr>
            <w:tcW w:w="4606" w:type="dxa"/>
          </w:tcPr>
          <w:p w14:paraId="31FD33F5" w14:textId="77777777" w:rsidR="00CA6686" w:rsidRPr="00E25C26" w:rsidRDefault="00CA6686" w:rsidP="00CA6686">
            <w:pPr>
              <w:numPr>
                <w:ilvl w:val="0"/>
                <w:numId w:val="1"/>
              </w:numPr>
              <w:spacing w:after="0" w:line="240" w:lineRule="auto"/>
              <w:jc w:val="both"/>
              <w:rPr>
                <w:rFonts w:eastAsia="Calibri"/>
                <w:sz w:val="20"/>
                <w:szCs w:val="24"/>
                <w:lang w:eastAsia="ar-SA"/>
              </w:rPr>
            </w:pPr>
            <w:r w:rsidRPr="00E25C26">
              <w:rPr>
                <w:rFonts w:eastAsia="Calibri"/>
                <w:sz w:val="20"/>
                <w:szCs w:val="24"/>
                <w:lang w:eastAsia="ar-SA"/>
              </w:rPr>
              <w:t xml:space="preserve">Acreditación de su autorización como gestor por parte de la administración </w:t>
            </w:r>
          </w:p>
          <w:p w14:paraId="31FD33F6" w14:textId="77777777" w:rsidR="00CA6686" w:rsidRPr="00E25C26" w:rsidRDefault="00CA6686" w:rsidP="00CA6686">
            <w:pPr>
              <w:numPr>
                <w:ilvl w:val="0"/>
                <w:numId w:val="1"/>
              </w:numPr>
              <w:spacing w:after="0" w:line="240" w:lineRule="auto"/>
              <w:jc w:val="both"/>
              <w:rPr>
                <w:rFonts w:eastAsia="Calibri"/>
                <w:sz w:val="20"/>
                <w:szCs w:val="24"/>
                <w:lang w:eastAsia="ar-SA"/>
              </w:rPr>
            </w:pPr>
            <w:r w:rsidRPr="00E25C26">
              <w:rPr>
                <w:rFonts w:eastAsia="Calibri"/>
                <w:sz w:val="20"/>
                <w:szCs w:val="24"/>
                <w:lang w:eastAsia="ar-SA"/>
              </w:rPr>
              <w:t>Documento de aceptación del Residuo Peligroso</w:t>
            </w:r>
          </w:p>
          <w:p w14:paraId="31FD33F7" w14:textId="77777777" w:rsidR="00CA6686" w:rsidRPr="00D62F7A" w:rsidRDefault="00CA6686" w:rsidP="00CA6686">
            <w:pPr>
              <w:numPr>
                <w:ilvl w:val="0"/>
                <w:numId w:val="1"/>
              </w:numPr>
              <w:spacing w:after="0" w:line="240" w:lineRule="auto"/>
              <w:jc w:val="both"/>
              <w:rPr>
                <w:rFonts w:eastAsia="Calibri"/>
                <w:sz w:val="20"/>
                <w:lang w:val="es-MX"/>
              </w:rPr>
            </w:pPr>
            <w:r w:rsidRPr="00E25C26">
              <w:rPr>
                <w:rFonts w:eastAsia="Calibri"/>
                <w:sz w:val="20"/>
                <w:szCs w:val="24"/>
                <w:lang w:eastAsia="ar-SA"/>
              </w:rPr>
              <w:t>Documento de Control y Seguimiento en cada recogida de residuo peligroso</w:t>
            </w:r>
          </w:p>
        </w:tc>
      </w:tr>
      <w:tr w:rsidR="00CA6686" w:rsidRPr="00D62F7A" w14:paraId="31FD33FB" w14:textId="77777777" w:rsidTr="00EC69F4">
        <w:tc>
          <w:tcPr>
            <w:tcW w:w="4605" w:type="dxa"/>
            <w:vAlign w:val="center"/>
          </w:tcPr>
          <w:p w14:paraId="31FD33F9" w14:textId="77777777" w:rsidR="00CA6686" w:rsidRPr="00E25C26" w:rsidRDefault="00CA6686" w:rsidP="00EC69F4">
            <w:pPr>
              <w:jc w:val="center"/>
              <w:rPr>
                <w:rFonts w:eastAsia="Calibri"/>
                <w:sz w:val="20"/>
                <w:szCs w:val="24"/>
                <w:lang w:eastAsia="ar-SA"/>
              </w:rPr>
            </w:pPr>
            <w:r w:rsidRPr="00E25C26">
              <w:rPr>
                <w:rFonts w:eastAsia="Calibri"/>
                <w:sz w:val="20"/>
                <w:szCs w:val="24"/>
                <w:lang w:eastAsia="ar-SA"/>
              </w:rPr>
              <w:t>Suministr</w:t>
            </w:r>
            <w:r>
              <w:rPr>
                <w:rFonts w:eastAsia="Calibri"/>
                <w:sz w:val="20"/>
                <w:szCs w:val="24"/>
                <w:lang w:eastAsia="ar-SA"/>
              </w:rPr>
              <w:t>ación</w:t>
            </w:r>
            <w:r w:rsidRPr="00E25C26">
              <w:rPr>
                <w:rFonts w:eastAsia="Calibri"/>
                <w:sz w:val="20"/>
                <w:szCs w:val="24"/>
                <w:lang w:eastAsia="ar-SA"/>
              </w:rPr>
              <w:t xml:space="preserve"> de productos químicos de limpieza</w:t>
            </w:r>
          </w:p>
        </w:tc>
        <w:tc>
          <w:tcPr>
            <w:tcW w:w="4606" w:type="dxa"/>
          </w:tcPr>
          <w:p w14:paraId="31FD33FA" w14:textId="77777777" w:rsidR="00CA6686" w:rsidRPr="00E25C26" w:rsidRDefault="00CA6686" w:rsidP="00CA6686">
            <w:pPr>
              <w:numPr>
                <w:ilvl w:val="0"/>
                <w:numId w:val="1"/>
              </w:numPr>
              <w:spacing w:after="0" w:line="240" w:lineRule="auto"/>
              <w:jc w:val="both"/>
              <w:rPr>
                <w:rFonts w:eastAsia="Calibri"/>
                <w:sz w:val="20"/>
                <w:szCs w:val="24"/>
                <w:lang w:eastAsia="ar-SA"/>
              </w:rPr>
            </w:pPr>
            <w:r w:rsidRPr="00E25C26">
              <w:rPr>
                <w:rFonts w:eastAsia="Calibri"/>
                <w:sz w:val="20"/>
                <w:szCs w:val="24"/>
                <w:lang w:eastAsia="ar-SA"/>
              </w:rPr>
              <w:t>Fichas de Seguridad de los productos químicos</w:t>
            </w:r>
          </w:p>
        </w:tc>
      </w:tr>
      <w:tr w:rsidR="00CA6686" w:rsidRPr="00D62F7A" w14:paraId="31FD33FF" w14:textId="77777777" w:rsidTr="00EC69F4">
        <w:tc>
          <w:tcPr>
            <w:tcW w:w="4605" w:type="dxa"/>
            <w:vAlign w:val="center"/>
          </w:tcPr>
          <w:p w14:paraId="31FD33FC" w14:textId="77777777" w:rsidR="00CA6686" w:rsidRPr="00E25C26" w:rsidRDefault="00CA6686" w:rsidP="00EC69F4">
            <w:pPr>
              <w:jc w:val="center"/>
              <w:rPr>
                <w:rFonts w:eastAsia="Calibri"/>
                <w:sz w:val="20"/>
                <w:szCs w:val="24"/>
                <w:lang w:eastAsia="ar-SA"/>
              </w:rPr>
            </w:pPr>
            <w:r w:rsidRPr="00E25C26">
              <w:rPr>
                <w:rFonts w:eastAsia="Calibri"/>
                <w:sz w:val="20"/>
                <w:szCs w:val="24"/>
                <w:lang w:eastAsia="ar-SA"/>
              </w:rPr>
              <w:t>Suministr</w:t>
            </w:r>
            <w:r>
              <w:rPr>
                <w:rFonts w:eastAsia="Calibri"/>
                <w:sz w:val="20"/>
                <w:szCs w:val="24"/>
                <w:lang w:eastAsia="ar-SA"/>
              </w:rPr>
              <w:t>ación</w:t>
            </w:r>
            <w:r w:rsidRPr="00E25C26">
              <w:rPr>
                <w:rFonts w:eastAsia="Calibri"/>
                <w:sz w:val="20"/>
                <w:szCs w:val="24"/>
                <w:lang w:eastAsia="ar-SA"/>
              </w:rPr>
              <w:t xml:space="preserve"> de cloro</w:t>
            </w:r>
          </w:p>
        </w:tc>
        <w:tc>
          <w:tcPr>
            <w:tcW w:w="4606" w:type="dxa"/>
          </w:tcPr>
          <w:p w14:paraId="31FD33FD" w14:textId="77777777" w:rsidR="00CA6686" w:rsidRPr="00E25C26" w:rsidRDefault="00CA6686" w:rsidP="00CA6686">
            <w:pPr>
              <w:numPr>
                <w:ilvl w:val="0"/>
                <w:numId w:val="1"/>
              </w:numPr>
              <w:spacing w:after="0" w:line="240" w:lineRule="auto"/>
              <w:jc w:val="both"/>
              <w:rPr>
                <w:rFonts w:eastAsia="Calibri"/>
                <w:sz w:val="20"/>
                <w:szCs w:val="24"/>
                <w:lang w:eastAsia="ar-SA"/>
              </w:rPr>
            </w:pPr>
            <w:r w:rsidRPr="00E25C26">
              <w:rPr>
                <w:rFonts w:eastAsia="Calibri"/>
                <w:sz w:val="20"/>
                <w:szCs w:val="24"/>
                <w:lang w:eastAsia="ar-SA"/>
              </w:rPr>
              <w:t>Fichas de Seguridad del cloro</w:t>
            </w:r>
          </w:p>
          <w:p w14:paraId="31FD33FE" w14:textId="77777777" w:rsidR="00CA6686" w:rsidRPr="00E25C26" w:rsidRDefault="00CA6686" w:rsidP="00CA6686">
            <w:pPr>
              <w:numPr>
                <w:ilvl w:val="0"/>
                <w:numId w:val="1"/>
              </w:numPr>
              <w:spacing w:after="0" w:line="240" w:lineRule="auto"/>
              <w:jc w:val="both"/>
              <w:rPr>
                <w:rFonts w:eastAsia="Calibri"/>
                <w:sz w:val="20"/>
                <w:szCs w:val="24"/>
                <w:lang w:eastAsia="ar-SA"/>
              </w:rPr>
            </w:pPr>
            <w:r w:rsidRPr="00E25C26">
              <w:rPr>
                <w:rFonts w:eastAsia="Calibri"/>
                <w:sz w:val="20"/>
                <w:szCs w:val="24"/>
                <w:lang w:eastAsia="ar-SA"/>
              </w:rPr>
              <w:t>ADR transporte del cloro</w:t>
            </w:r>
          </w:p>
        </w:tc>
      </w:tr>
      <w:tr w:rsidR="00CA6686" w:rsidRPr="00D62F7A" w14:paraId="31FD3403" w14:textId="77777777" w:rsidTr="00EC69F4">
        <w:tc>
          <w:tcPr>
            <w:tcW w:w="4605" w:type="dxa"/>
            <w:vAlign w:val="center"/>
          </w:tcPr>
          <w:p w14:paraId="31FD3400" w14:textId="77777777" w:rsidR="00CA6686" w:rsidRPr="00E25C26" w:rsidRDefault="00CA6686" w:rsidP="00EC69F4">
            <w:pPr>
              <w:jc w:val="center"/>
              <w:rPr>
                <w:rFonts w:eastAsia="Calibri"/>
                <w:sz w:val="20"/>
                <w:szCs w:val="24"/>
                <w:lang w:eastAsia="ar-SA"/>
              </w:rPr>
            </w:pPr>
            <w:r w:rsidRPr="00E25C26">
              <w:rPr>
                <w:rFonts w:eastAsia="Calibri"/>
                <w:sz w:val="20"/>
                <w:szCs w:val="24"/>
                <w:lang w:eastAsia="ar-SA"/>
              </w:rPr>
              <w:t>Suministr</w:t>
            </w:r>
            <w:r>
              <w:rPr>
                <w:rFonts w:eastAsia="Calibri"/>
                <w:sz w:val="20"/>
                <w:szCs w:val="24"/>
                <w:lang w:eastAsia="ar-SA"/>
              </w:rPr>
              <w:t>ación</w:t>
            </w:r>
            <w:r w:rsidRPr="00E25C26">
              <w:rPr>
                <w:rFonts w:eastAsia="Calibri"/>
                <w:sz w:val="20"/>
                <w:szCs w:val="24"/>
                <w:lang w:eastAsia="ar-SA"/>
              </w:rPr>
              <w:t xml:space="preserve"> del Gas Licuado</w:t>
            </w:r>
          </w:p>
        </w:tc>
        <w:tc>
          <w:tcPr>
            <w:tcW w:w="4606" w:type="dxa"/>
          </w:tcPr>
          <w:p w14:paraId="31FD3401" w14:textId="77777777" w:rsidR="00CA6686" w:rsidRPr="00E25C26" w:rsidRDefault="00CA6686" w:rsidP="00CA6686">
            <w:pPr>
              <w:numPr>
                <w:ilvl w:val="0"/>
                <w:numId w:val="1"/>
              </w:numPr>
              <w:spacing w:after="0" w:line="240" w:lineRule="auto"/>
              <w:jc w:val="both"/>
              <w:rPr>
                <w:rFonts w:eastAsia="Calibri"/>
                <w:sz w:val="20"/>
                <w:szCs w:val="24"/>
                <w:lang w:eastAsia="ar-SA"/>
              </w:rPr>
            </w:pPr>
            <w:r w:rsidRPr="00E25C26">
              <w:rPr>
                <w:rFonts w:eastAsia="Calibri"/>
                <w:sz w:val="20"/>
                <w:szCs w:val="24"/>
                <w:lang w:eastAsia="ar-SA"/>
              </w:rPr>
              <w:t>Fichas de Seguridad del gas licuado</w:t>
            </w:r>
          </w:p>
          <w:p w14:paraId="31FD3402" w14:textId="77777777" w:rsidR="00CA6686" w:rsidRPr="00E25C26" w:rsidRDefault="00CA6686" w:rsidP="00CA6686">
            <w:pPr>
              <w:numPr>
                <w:ilvl w:val="0"/>
                <w:numId w:val="1"/>
              </w:numPr>
              <w:spacing w:after="0" w:line="240" w:lineRule="auto"/>
              <w:jc w:val="both"/>
              <w:rPr>
                <w:rFonts w:eastAsia="Calibri"/>
                <w:sz w:val="20"/>
                <w:szCs w:val="24"/>
                <w:lang w:eastAsia="ar-SA"/>
              </w:rPr>
            </w:pPr>
            <w:r w:rsidRPr="00E25C26">
              <w:rPr>
                <w:rFonts w:eastAsia="Calibri"/>
                <w:sz w:val="20"/>
                <w:szCs w:val="24"/>
                <w:lang w:eastAsia="ar-SA"/>
              </w:rPr>
              <w:t>ADR transporte del gas</w:t>
            </w:r>
          </w:p>
        </w:tc>
      </w:tr>
      <w:tr w:rsidR="00CA6686" w:rsidRPr="00D62F7A" w14:paraId="31FD3407" w14:textId="77777777" w:rsidTr="00EC69F4">
        <w:tc>
          <w:tcPr>
            <w:tcW w:w="4605" w:type="dxa"/>
            <w:vAlign w:val="center"/>
          </w:tcPr>
          <w:p w14:paraId="31FD3404" w14:textId="77777777" w:rsidR="00CA6686" w:rsidRPr="00E25C26" w:rsidRDefault="00CA6686" w:rsidP="00EC69F4">
            <w:pPr>
              <w:jc w:val="center"/>
              <w:rPr>
                <w:rFonts w:eastAsia="Calibri"/>
                <w:sz w:val="20"/>
                <w:szCs w:val="24"/>
                <w:lang w:eastAsia="ar-SA"/>
              </w:rPr>
            </w:pPr>
            <w:r w:rsidRPr="00E25C26">
              <w:rPr>
                <w:rFonts w:eastAsia="Calibri"/>
                <w:sz w:val="20"/>
                <w:szCs w:val="24"/>
                <w:lang w:eastAsia="ar-SA"/>
              </w:rPr>
              <w:t>Manten</w:t>
            </w:r>
            <w:r>
              <w:rPr>
                <w:rFonts w:eastAsia="Calibri"/>
                <w:sz w:val="20"/>
                <w:szCs w:val="24"/>
                <w:lang w:eastAsia="ar-SA"/>
              </w:rPr>
              <w:t xml:space="preserve">imiento </w:t>
            </w:r>
            <w:r w:rsidRPr="00E25C26">
              <w:rPr>
                <w:rFonts w:eastAsia="Calibri"/>
                <w:sz w:val="20"/>
                <w:szCs w:val="24"/>
                <w:lang w:eastAsia="ar-SA"/>
              </w:rPr>
              <w:t>de Equipos extintores</w:t>
            </w:r>
          </w:p>
        </w:tc>
        <w:tc>
          <w:tcPr>
            <w:tcW w:w="4606" w:type="dxa"/>
          </w:tcPr>
          <w:p w14:paraId="31FD3405" w14:textId="77777777" w:rsidR="00CA6686" w:rsidRPr="00E25C26" w:rsidRDefault="00CA6686" w:rsidP="00CA6686">
            <w:pPr>
              <w:numPr>
                <w:ilvl w:val="0"/>
                <w:numId w:val="1"/>
              </w:numPr>
              <w:spacing w:after="0" w:line="240" w:lineRule="auto"/>
              <w:jc w:val="both"/>
              <w:rPr>
                <w:rFonts w:eastAsia="Calibri"/>
                <w:sz w:val="20"/>
                <w:szCs w:val="24"/>
                <w:lang w:eastAsia="ar-SA"/>
              </w:rPr>
            </w:pPr>
            <w:r w:rsidRPr="00E25C26">
              <w:rPr>
                <w:rFonts w:eastAsia="Calibri"/>
                <w:sz w:val="20"/>
                <w:szCs w:val="24"/>
                <w:lang w:eastAsia="ar-SA"/>
              </w:rPr>
              <w:t>Certificado anual de los mantenimientos periódicos</w:t>
            </w:r>
          </w:p>
          <w:p w14:paraId="31FD3406" w14:textId="77777777" w:rsidR="00CA6686" w:rsidRPr="00E25C26" w:rsidRDefault="00CA6686" w:rsidP="00CA6686">
            <w:pPr>
              <w:numPr>
                <w:ilvl w:val="0"/>
                <w:numId w:val="1"/>
              </w:numPr>
              <w:spacing w:after="0" w:line="240" w:lineRule="auto"/>
              <w:jc w:val="both"/>
              <w:rPr>
                <w:rFonts w:eastAsia="Calibri"/>
                <w:sz w:val="20"/>
                <w:szCs w:val="24"/>
                <w:lang w:eastAsia="ar-SA"/>
              </w:rPr>
            </w:pPr>
            <w:r w:rsidRPr="00E25C26">
              <w:rPr>
                <w:rFonts w:eastAsia="Calibri"/>
                <w:sz w:val="20"/>
                <w:szCs w:val="24"/>
                <w:lang w:eastAsia="ar-SA"/>
              </w:rPr>
              <w:t xml:space="preserve">Copia de la de industria como mantenedor autorizado </w:t>
            </w:r>
          </w:p>
        </w:tc>
      </w:tr>
      <w:tr w:rsidR="00CA6686" w:rsidRPr="00D62F7A" w14:paraId="31FD340A" w14:textId="77777777" w:rsidTr="00EC69F4">
        <w:tc>
          <w:tcPr>
            <w:tcW w:w="4605" w:type="dxa"/>
            <w:vAlign w:val="center"/>
          </w:tcPr>
          <w:p w14:paraId="31FD3408" w14:textId="77777777" w:rsidR="00CA6686" w:rsidRPr="00E25C26" w:rsidRDefault="00CA6686" w:rsidP="00EC69F4">
            <w:pPr>
              <w:jc w:val="center"/>
              <w:rPr>
                <w:rFonts w:eastAsia="Calibri"/>
                <w:sz w:val="20"/>
                <w:szCs w:val="24"/>
                <w:lang w:eastAsia="ar-SA"/>
              </w:rPr>
            </w:pPr>
            <w:r w:rsidRPr="00E25C26">
              <w:rPr>
                <w:rFonts w:eastAsia="Calibri"/>
                <w:sz w:val="20"/>
                <w:szCs w:val="24"/>
                <w:lang w:eastAsia="ar-SA"/>
              </w:rPr>
              <w:t>OCAS de revisión periódica</w:t>
            </w:r>
          </w:p>
        </w:tc>
        <w:tc>
          <w:tcPr>
            <w:tcW w:w="4606" w:type="dxa"/>
          </w:tcPr>
          <w:p w14:paraId="31FD3409" w14:textId="77777777" w:rsidR="00CA6686" w:rsidRPr="00E25C26" w:rsidRDefault="00CA6686" w:rsidP="00CA6686">
            <w:pPr>
              <w:numPr>
                <w:ilvl w:val="0"/>
                <w:numId w:val="1"/>
              </w:numPr>
              <w:spacing w:after="0" w:line="240" w:lineRule="auto"/>
              <w:jc w:val="both"/>
              <w:rPr>
                <w:rFonts w:eastAsia="Calibri"/>
                <w:sz w:val="20"/>
                <w:szCs w:val="24"/>
                <w:lang w:eastAsia="ar-SA"/>
              </w:rPr>
            </w:pPr>
            <w:r w:rsidRPr="00E25C26">
              <w:rPr>
                <w:rFonts w:eastAsia="Calibri"/>
                <w:sz w:val="20"/>
                <w:szCs w:val="24"/>
                <w:lang w:eastAsia="ar-SA"/>
              </w:rPr>
              <w:t>Certificados OCA de las inspecciones realizadas</w:t>
            </w:r>
          </w:p>
        </w:tc>
      </w:tr>
      <w:tr w:rsidR="00CA6686" w:rsidRPr="00D62F7A" w14:paraId="31FD340F" w14:textId="77777777" w:rsidTr="00EC69F4">
        <w:tc>
          <w:tcPr>
            <w:tcW w:w="4605" w:type="dxa"/>
            <w:vAlign w:val="center"/>
          </w:tcPr>
          <w:p w14:paraId="31FD340B" w14:textId="77777777" w:rsidR="00CA6686" w:rsidRPr="00E25C26" w:rsidRDefault="00CA6686" w:rsidP="00EC69F4">
            <w:pPr>
              <w:jc w:val="center"/>
              <w:rPr>
                <w:rFonts w:eastAsia="Calibri"/>
                <w:sz w:val="20"/>
                <w:szCs w:val="24"/>
                <w:lang w:eastAsia="ar-SA"/>
              </w:rPr>
            </w:pPr>
            <w:r w:rsidRPr="00E25C26">
              <w:rPr>
                <w:rFonts w:eastAsia="Calibri"/>
                <w:sz w:val="20"/>
                <w:szCs w:val="24"/>
                <w:lang w:eastAsia="ar-SA"/>
              </w:rPr>
              <w:t>Aplicación DDD</w:t>
            </w:r>
          </w:p>
        </w:tc>
        <w:tc>
          <w:tcPr>
            <w:tcW w:w="4606" w:type="dxa"/>
          </w:tcPr>
          <w:p w14:paraId="31FD340C" w14:textId="77777777" w:rsidR="00CA6686" w:rsidRPr="00E25C26" w:rsidRDefault="00CA6686" w:rsidP="00CA6686">
            <w:pPr>
              <w:numPr>
                <w:ilvl w:val="0"/>
                <w:numId w:val="1"/>
              </w:numPr>
              <w:spacing w:after="0" w:line="240" w:lineRule="auto"/>
              <w:jc w:val="both"/>
              <w:rPr>
                <w:rFonts w:eastAsia="Calibri"/>
                <w:sz w:val="20"/>
                <w:szCs w:val="24"/>
                <w:lang w:eastAsia="ar-SA"/>
              </w:rPr>
            </w:pPr>
            <w:r w:rsidRPr="00E25C26">
              <w:rPr>
                <w:rFonts w:eastAsia="Calibri"/>
                <w:sz w:val="20"/>
                <w:szCs w:val="24"/>
                <w:lang w:eastAsia="ar-SA"/>
              </w:rPr>
              <w:t>Registros de las aplicaciones y revisiones realizadas</w:t>
            </w:r>
          </w:p>
          <w:p w14:paraId="31FD340D" w14:textId="77777777" w:rsidR="00CA6686" w:rsidRPr="00E25C26" w:rsidRDefault="00CA6686" w:rsidP="00CA6686">
            <w:pPr>
              <w:numPr>
                <w:ilvl w:val="0"/>
                <w:numId w:val="1"/>
              </w:numPr>
              <w:spacing w:after="0" w:line="240" w:lineRule="auto"/>
              <w:jc w:val="both"/>
              <w:rPr>
                <w:rFonts w:eastAsia="Calibri"/>
                <w:sz w:val="20"/>
                <w:szCs w:val="24"/>
                <w:lang w:eastAsia="ar-SA"/>
              </w:rPr>
            </w:pPr>
            <w:r w:rsidRPr="00E25C26">
              <w:rPr>
                <w:rFonts w:eastAsia="Calibri"/>
                <w:sz w:val="20"/>
                <w:szCs w:val="24"/>
                <w:lang w:eastAsia="ar-SA"/>
              </w:rPr>
              <w:t>Fichas de seguridad de los productos DDD utilizados</w:t>
            </w:r>
          </w:p>
          <w:p w14:paraId="31FD340E" w14:textId="77777777" w:rsidR="00CA6686" w:rsidRPr="00E25C26" w:rsidRDefault="00CA6686" w:rsidP="00CA6686">
            <w:pPr>
              <w:numPr>
                <w:ilvl w:val="0"/>
                <w:numId w:val="1"/>
              </w:numPr>
              <w:spacing w:after="0" w:line="240" w:lineRule="auto"/>
              <w:jc w:val="both"/>
              <w:rPr>
                <w:rFonts w:eastAsia="Calibri"/>
                <w:sz w:val="20"/>
                <w:szCs w:val="24"/>
                <w:lang w:eastAsia="ar-SA"/>
              </w:rPr>
            </w:pPr>
            <w:r w:rsidRPr="00E25C26">
              <w:rPr>
                <w:rFonts w:eastAsia="Calibri"/>
                <w:sz w:val="20"/>
                <w:szCs w:val="24"/>
                <w:lang w:eastAsia="ar-SA"/>
              </w:rPr>
              <w:t>Contrato con la empresa que realiza los tratamientos</w:t>
            </w:r>
          </w:p>
        </w:tc>
      </w:tr>
      <w:tr w:rsidR="00CA6686" w:rsidRPr="00D62F7A" w14:paraId="31FD3413" w14:textId="77777777" w:rsidTr="00EC69F4">
        <w:tc>
          <w:tcPr>
            <w:tcW w:w="4605" w:type="dxa"/>
            <w:vAlign w:val="center"/>
          </w:tcPr>
          <w:p w14:paraId="31FD3410" w14:textId="77777777" w:rsidR="00CA6686" w:rsidRPr="00E25C26" w:rsidRDefault="00CA6686" w:rsidP="00EC69F4">
            <w:pPr>
              <w:jc w:val="center"/>
              <w:rPr>
                <w:rFonts w:eastAsia="Calibri"/>
                <w:sz w:val="20"/>
                <w:szCs w:val="24"/>
                <w:lang w:eastAsia="ar-SA"/>
              </w:rPr>
            </w:pPr>
            <w:r w:rsidRPr="00E25C26">
              <w:rPr>
                <w:rFonts w:eastAsia="Calibri"/>
                <w:sz w:val="20"/>
                <w:szCs w:val="24"/>
                <w:lang w:eastAsia="ar-SA"/>
              </w:rPr>
              <w:t>Bares</w:t>
            </w:r>
          </w:p>
        </w:tc>
        <w:tc>
          <w:tcPr>
            <w:tcW w:w="4606" w:type="dxa"/>
          </w:tcPr>
          <w:p w14:paraId="31FD3411" w14:textId="77777777" w:rsidR="00CA6686" w:rsidRPr="00E25C26" w:rsidRDefault="00CA6686" w:rsidP="00CA6686">
            <w:pPr>
              <w:numPr>
                <w:ilvl w:val="0"/>
                <w:numId w:val="1"/>
              </w:numPr>
              <w:spacing w:after="0" w:line="240" w:lineRule="auto"/>
              <w:jc w:val="both"/>
              <w:rPr>
                <w:rFonts w:eastAsia="Calibri"/>
                <w:sz w:val="20"/>
                <w:szCs w:val="24"/>
                <w:lang w:eastAsia="ar-SA"/>
              </w:rPr>
            </w:pPr>
            <w:r w:rsidRPr="00E25C26">
              <w:rPr>
                <w:rFonts w:eastAsia="Calibri"/>
                <w:sz w:val="20"/>
                <w:szCs w:val="24"/>
                <w:lang w:eastAsia="ar-SA"/>
              </w:rPr>
              <w:t>Certificado emitido por los proveedores declarando que la gestión de los residuos orgánicos, envases y vidrio se realiza mediante su deposición en contenedores urbanos autorizados</w:t>
            </w:r>
          </w:p>
          <w:p w14:paraId="31FD3412" w14:textId="77777777" w:rsidR="00CA6686" w:rsidRPr="00E25C26" w:rsidRDefault="00CA6686" w:rsidP="00CA6686">
            <w:pPr>
              <w:numPr>
                <w:ilvl w:val="0"/>
                <w:numId w:val="1"/>
              </w:numPr>
              <w:spacing w:after="0" w:line="240" w:lineRule="auto"/>
              <w:jc w:val="both"/>
              <w:rPr>
                <w:rFonts w:eastAsia="Calibri"/>
                <w:sz w:val="20"/>
                <w:szCs w:val="24"/>
                <w:lang w:eastAsia="ar-SA"/>
              </w:rPr>
            </w:pPr>
            <w:r w:rsidRPr="00E25C26">
              <w:rPr>
                <w:rFonts w:eastAsia="Calibri"/>
                <w:sz w:val="20"/>
                <w:szCs w:val="24"/>
                <w:lang w:eastAsia="ar-SA"/>
              </w:rPr>
              <w:t>Copia del contrato con el</w:t>
            </w:r>
            <w:r>
              <w:rPr>
                <w:rFonts w:eastAsia="Calibri"/>
                <w:sz w:val="20"/>
                <w:szCs w:val="24"/>
                <w:lang w:eastAsia="ar-SA"/>
              </w:rPr>
              <w:t>/la</w:t>
            </w:r>
            <w:r w:rsidRPr="00E25C26">
              <w:rPr>
                <w:rFonts w:eastAsia="Calibri"/>
                <w:sz w:val="20"/>
                <w:szCs w:val="24"/>
                <w:lang w:eastAsia="ar-SA"/>
              </w:rPr>
              <w:t xml:space="preserve"> gestor</w:t>
            </w:r>
            <w:r>
              <w:rPr>
                <w:rFonts w:eastAsia="Calibri"/>
                <w:sz w:val="20"/>
                <w:szCs w:val="24"/>
                <w:lang w:eastAsia="ar-SA"/>
              </w:rPr>
              <w:t>/a</w:t>
            </w:r>
            <w:r w:rsidRPr="00E25C26">
              <w:rPr>
                <w:rFonts w:eastAsia="Calibri"/>
                <w:sz w:val="20"/>
                <w:szCs w:val="24"/>
                <w:lang w:eastAsia="ar-SA"/>
              </w:rPr>
              <w:t xml:space="preserve">, o documento de aceptación que acredite que los aceites vegetales los gestiona correctamente </w:t>
            </w:r>
          </w:p>
        </w:tc>
      </w:tr>
      <w:tr w:rsidR="00CA6686" w:rsidRPr="00D62F7A" w14:paraId="31FD341A" w14:textId="77777777" w:rsidTr="00EC69F4">
        <w:tc>
          <w:tcPr>
            <w:tcW w:w="4605" w:type="dxa"/>
            <w:vAlign w:val="center"/>
          </w:tcPr>
          <w:p w14:paraId="31FD3414" w14:textId="77777777" w:rsidR="00CA6686" w:rsidRPr="00E25C26" w:rsidRDefault="00CA6686" w:rsidP="00EC69F4">
            <w:pPr>
              <w:jc w:val="center"/>
              <w:rPr>
                <w:rFonts w:eastAsia="Calibri"/>
                <w:sz w:val="20"/>
                <w:szCs w:val="24"/>
                <w:lang w:eastAsia="ar-SA"/>
              </w:rPr>
            </w:pPr>
            <w:r w:rsidRPr="00E25C26">
              <w:rPr>
                <w:rFonts w:eastAsia="Calibri"/>
                <w:sz w:val="20"/>
                <w:szCs w:val="24"/>
                <w:lang w:eastAsia="ar-SA"/>
              </w:rPr>
              <w:t>Cualquier proveedor</w:t>
            </w:r>
            <w:r>
              <w:rPr>
                <w:rFonts w:eastAsia="Calibri"/>
                <w:sz w:val="20"/>
                <w:szCs w:val="24"/>
                <w:lang w:eastAsia="ar-SA"/>
              </w:rPr>
              <w:t>-a</w:t>
            </w:r>
            <w:r w:rsidRPr="00E25C26">
              <w:rPr>
                <w:rFonts w:eastAsia="Calibri"/>
                <w:sz w:val="20"/>
                <w:szCs w:val="24"/>
                <w:lang w:eastAsia="ar-SA"/>
              </w:rPr>
              <w:t xml:space="preserve"> / subcontratista que trabaje de forma continuada o puntual en las instalaciones gestionadas por BPXPORT</w:t>
            </w:r>
          </w:p>
        </w:tc>
        <w:tc>
          <w:tcPr>
            <w:tcW w:w="4606" w:type="dxa"/>
          </w:tcPr>
          <w:p w14:paraId="31FD3415" w14:textId="77777777" w:rsidR="00CA6686" w:rsidRPr="00E25C26" w:rsidRDefault="00CA6686" w:rsidP="00EC69F4">
            <w:pPr>
              <w:jc w:val="both"/>
              <w:rPr>
                <w:rFonts w:eastAsia="Calibri"/>
                <w:sz w:val="20"/>
                <w:szCs w:val="24"/>
                <w:lang w:eastAsia="ar-SA"/>
              </w:rPr>
            </w:pPr>
            <w:r w:rsidRPr="00E25C26">
              <w:rPr>
                <w:rFonts w:eastAsia="Calibri"/>
                <w:sz w:val="20"/>
                <w:szCs w:val="24"/>
                <w:lang w:eastAsia="ar-SA"/>
              </w:rPr>
              <w:t xml:space="preserve">Se le remite un mail con la siguiente información </w:t>
            </w:r>
          </w:p>
          <w:p w14:paraId="31FD3416" w14:textId="77777777" w:rsidR="00CA6686" w:rsidRPr="00E25C26" w:rsidRDefault="00CA6686" w:rsidP="00CA6686">
            <w:pPr>
              <w:numPr>
                <w:ilvl w:val="0"/>
                <w:numId w:val="1"/>
              </w:numPr>
              <w:spacing w:after="0" w:line="240" w:lineRule="auto"/>
              <w:jc w:val="both"/>
              <w:rPr>
                <w:rFonts w:eastAsia="Calibri"/>
                <w:sz w:val="20"/>
                <w:szCs w:val="24"/>
                <w:lang w:eastAsia="ar-SA"/>
              </w:rPr>
            </w:pPr>
            <w:r w:rsidRPr="00E25C26">
              <w:rPr>
                <w:rFonts w:eastAsia="Calibri"/>
                <w:sz w:val="20"/>
                <w:szCs w:val="24"/>
                <w:lang w:eastAsia="ar-SA"/>
              </w:rPr>
              <w:t>Política de la organización</w:t>
            </w:r>
          </w:p>
          <w:p w14:paraId="31FD3417" w14:textId="77777777" w:rsidR="00CA6686" w:rsidRPr="00E25C26" w:rsidRDefault="00CA6686" w:rsidP="00CA6686">
            <w:pPr>
              <w:numPr>
                <w:ilvl w:val="0"/>
                <w:numId w:val="1"/>
              </w:numPr>
              <w:spacing w:after="0" w:line="240" w:lineRule="auto"/>
              <w:jc w:val="both"/>
              <w:rPr>
                <w:rFonts w:eastAsia="Calibri"/>
                <w:sz w:val="20"/>
                <w:szCs w:val="24"/>
                <w:lang w:eastAsia="ar-SA"/>
              </w:rPr>
            </w:pPr>
            <w:r w:rsidRPr="00E25C26">
              <w:rPr>
                <w:rFonts w:eastAsia="Calibri"/>
                <w:sz w:val="20"/>
                <w:szCs w:val="24"/>
                <w:lang w:eastAsia="ar-SA"/>
              </w:rPr>
              <w:lastRenderedPageBreak/>
              <w:t>Guía de Buenas Prácticas</w:t>
            </w:r>
          </w:p>
          <w:p w14:paraId="31FD3418" w14:textId="77777777" w:rsidR="00CA6686" w:rsidRPr="00E25C26" w:rsidRDefault="00CA6686" w:rsidP="00EC69F4">
            <w:pPr>
              <w:jc w:val="both"/>
              <w:rPr>
                <w:rFonts w:eastAsia="Calibri"/>
                <w:sz w:val="20"/>
                <w:szCs w:val="24"/>
                <w:lang w:eastAsia="ar-SA"/>
              </w:rPr>
            </w:pPr>
            <w:r w:rsidRPr="00E25C26">
              <w:rPr>
                <w:rFonts w:eastAsia="Calibri"/>
                <w:sz w:val="20"/>
                <w:szCs w:val="24"/>
                <w:lang w:eastAsia="ar-SA"/>
              </w:rPr>
              <w:t>En el contenido del mail, se le solicitará a la empresa que responda indicando que se compromete a cumplir todos los requerimientos ambientales de nuestra organización</w:t>
            </w:r>
          </w:p>
          <w:p w14:paraId="31FD3419" w14:textId="77777777" w:rsidR="00CA6686" w:rsidRPr="00D62F7A" w:rsidRDefault="00CA6686" w:rsidP="00EC69F4">
            <w:pPr>
              <w:jc w:val="both"/>
              <w:rPr>
                <w:rFonts w:eastAsia="Calibri"/>
                <w:sz w:val="20"/>
                <w:lang w:val="es-MX"/>
              </w:rPr>
            </w:pPr>
          </w:p>
        </w:tc>
      </w:tr>
    </w:tbl>
    <w:p w14:paraId="31FD341B" w14:textId="77777777" w:rsidR="00CA6686" w:rsidRDefault="00CA6686"/>
    <w:p w14:paraId="31FD341C" w14:textId="77777777" w:rsidR="00CA6686" w:rsidRDefault="00CA6686"/>
    <w:p w14:paraId="31FD341D" w14:textId="77777777" w:rsidR="00CA6686" w:rsidRDefault="00CA6686"/>
    <w:p w14:paraId="31FD341E" w14:textId="77777777" w:rsidR="00277752" w:rsidRDefault="00277752"/>
    <w:p w14:paraId="31FD341F" w14:textId="77777777" w:rsidR="00277752" w:rsidRDefault="00277752"/>
    <w:sectPr w:rsidR="00277752" w:rsidSect="00FA7D4F">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FD3424" w14:textId="77777777" w:rsidR="00FD6231" w:rsidRDefault="00FD6231" w:rsidP="00CA6686">
      <w:pPr>
        <w:spacing w:after="0" w:line="240" w:lineRule="auto"/>
      </w:pPr>
      <w:r>
        <w:separator/>
      </w:r>
    </w:p>
  </w:endnote>
  <w:endnote w:type="continuationSeparator" w:id="0">
    <w:p w14:paraId="31FD3425" w14:textId="77777777" w:rsidR="00FD6231" w:rsidRDefault="00FD6231" w:rsidP="00CA6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D342D" w14:textId="77777777" w:rsidR="008A148D" w:rsidRDefault="008A148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D342E" w14:textId="77777777" w:rsidR="008A148D" w:rsidRDefault="008A148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D3430" w14:textId="77777777" w:rsidR="008A148D" w:rsidRDefault="008A148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FD3422" w14:textId="77777777" w:rsidR="00FD6231" w:rsidRDefault="00FD6231" w:rsidP="00CA6686">
      <w:pPr>
        <w:spacing w:after="0" w:line="240" w:lineRule="auto"/>
      </w:pPr>
      <w:r>
        <w:separator/>
      </w:r>
    </w:p>
  </w:footnote>
  <w:footnote w:type="continuationSeparator" w:id="0">
    <w:p w14:paraId="31FD3423" w14:textId="77777777" w:rsidR="00FD6231" w:rsidRDefault="00FD6231" w:rsidP="00CA66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D3426" w14:textId="77777777" w:rsidR="008A148D" w:rsidRDefault="008A148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48" w:type="dxa"/>
      <w:jc w:val="center"/>
      <w:tblBorders>
        <w:top w:val="single" w:sz="12" w:space="0" w:color="B5BE00"/>
        <w:left w:val="single" w:sz="12" w:space="0" w:color="B5BE00"/>
        <w:bottom w:val="single" w:sz="12" w:space="0" w:color="B5BE00"/>
        <w:right w:val="single" w:sz="12" w:space="0" w:color="B5BE00"/>
        <w:insideH w:val="single" w:sz="12" w:space="0" w:color="B5BE00"/>
        <w:insideV w:val="single" w:sz="12" w:space="0" w:color="B5BE00"/>
      </w:tblBorders>
      <w:tblLayout w:type="fixed"/>
      <w:tblLook w:val="01E0" w:firstRow="1" w:lastRow="1" w:firstColumn="1" w:lastColumn="1" w:noHBand="0" w:noVBand="0"/>
    </w:tblPr>
    <w:tblGrid>
      <w:gridCol w:w="2459"/>
      <w:gridCol w:w="4129"/>
      <w:gridCol w:w="2160"/>
    </w:tblGrid>
    <w:tr w:rsidR="00FD6C7F" w14:paraId="31FD342A" w14:textId="77777777" w:rsidTr="0004066D">
      <w:trPr>
        <w:cantSplit/>
        <w:trHeight w:val="870"/>
        <w:jc w:val="center"/>
      </w:trPr>
      <w:tc>
        <w:tcPr>
          <w:tcW w:w="2459" w:type="dxa"/>
          <w:vAlign w:val="center"/>
        </w:tcPr>
        <w:p w14:paraId="31FD3427" w14:textId="77777777" w:rsidR="00FD6C7F" w:rsidRDefault="00FD6C7F" w:rsidP="0004066D">
          <w:pPr>
            <w:pStyle w:val="Encabezado"/>
            <w:jc w:val="center"/>
          </w:pPr>
          <w:r>
            <w:rPr>
              <w:noProof/>
              <w:lang w:eastAsia="es-ES"/>
            </w:rPr>
            <w:drawing>
              <wp:inline distT="0" distB="0" distL="0" distR="0" wp14:anchorId="31FD3431" wp14:editId="31FD3432">
                <wp:extent cx="1386840" cy="321310"/>
                <wp:effectExtent l="19050" t="0" r="3810" b="0"/>
                <wp:docPr id="7" name="Imagen 1" descr="C:\Users\SIG\OneDrive - BPXPORT KIROL ZERBITZUAK S.L\SIG\Imagen corporativa\Logos 2019\BPXportLOGOnegr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SIG\OneDrive - BPXPORT KIROL ZERBITZUAK S.L\SIG\Imagen corporativa\Logos 2019\BPXportLOGOnegro.gif"/>
                        <pic:cNvPicPr>
                          <a:picLocks noChangeAspect="1" noChangeArrowheads="1"/>
                        </pic:cNvPicPr>
                      </pic:nvPicPr>
                      <pic:blipFill>
                        <a:blip r:embed="rId1"/>
                        <a:srcRect/>
                        <a:stretch>
                          <a:fillRect/>
                        </a:stretch>
                      </pic:blipFill>
                      <pic:spPr bwMode="auto">
                        <a:xfrm>
                          <a:off x="0" y="0"/>
                          <a:ext cx="1386840" cy="321310"/>
                        </a:xfrm>
                        <a:prstGeom prst="rect">
                          <a:avLst/>
                        </a:prstGeom>
                        <a:noFill/>
                        <a:ln w="9525">
                          <a:noFill/>
                          <a:miter lim="800000"/>
                          <a:headEnd/>
                          <a:tailEnd/>
                        </a:ln>
                      </pic:spPr>
                    </pic:pic>
                  </a:graphicData>
                </a:graphic>
              </wp:inline>
            </w:drawing>
          </w:r>
        </w:p>
      </w:tc>
      <w:tc>
        <w:tcPr>
          <w:tcW w:w="4129" w:type="dxa"/>
          <w:shd w:val="clear" w:color="auto" w:fill="B5BE00"/>
          <w:vAlign w:val="center"/>
        </w:tcPr>
        <w:p w14:paraId="31FD3428" w14:textId="77777777" w:rsidR="00FD6C7F" w:rsidRPr="002F7B3E" w:rsidRDefault="00FD6C7F" w:rsidP="00FD6C7F">
          <w:pPr>
            <w:pStyle w:val="Encabezado"/>
            <w:jc w:val="center"/>
            <w:rPr>
              <w:b/>
            </w:rPr>
          </w:pPr>
          <w:r>
            <w:rPr>
              <w:b/>
              <w:color w:val="FFFFFF"/>
              <w:lang w:eastAsia="ar-SA"/>
            </w:rPr>
            <w:t>CARTA DE COMUNICACIÓN A PROVEEDORES</w:t>
          </w:r>
        </w:p>
      </w:tc>
      <w:tc>
        <w:tcPr>
          <w:tcW w:w="2160" w:type="dxa"/>
          <w:vAlign w:val="center"/>
        </w:tcPr>
        <w:p w14:paraId="31FD3429" w14:textId="77777777" w:rsidR="00FD6C7F" w:rsidRPr="00BB6B5B" w:rsidRDefault="008A148D" w:rsidP="0004066D">
          <w:pPr>
            <w:pStyle w:val="Encabezado"/>
            <w:jc w:val="center"/>
            <w:rPr>
              <w:sz w:val="20"/>
            </w:rPr>
          </w:pPr>
          <w:r>
            <w:rPr>
              <w:sz w:val="20"/>
              <w:lang w:eastAsia="ar-SA"/>
            </w:rPr>
            <w:t>R 03.01-06</w:t>
          </w:r>
        </w:p>
      </w:tc>
    </w:tr>
  </w:tbl>
  <w:p w14:paraId="31FD342B" w14:textId="77777777" w:rsidR="00CA6686" w:rsidRDefault="00CA6686">
    <w:pPr>
      <w:pStyle w:val="Encabezado"/>
    </w:pPr>
  </w:p>
  <w:p w14:paraId="31FD342C" w14:textId="77777777" w:rsidR="00FD6C7F" w:rsidRDefault="00FD6C7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D342F" w14:textId="77777777" w:rsidR="008A148D" w:rsidRDefault="008A148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F525D"/>
    <w:multiLevelType w:val="hybridMultilevel"/>
    <w:tmpl w:val="F82A2092"/>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D55D4"/>
    <w:rsid w:val="000D55D4"/>
    <w:rsid w:val="00130B8F"/>
    <w:rsid w:val="00251306"/>
    <w:rsid w:val="00277752"/>
    <w:rsid w:val="002B1148"/>
    <w:rsid w:val="00361450"/>
    <w:rsid w:val="00494BE4"/>
    <w:rsid w:val="005E0B16"/>
    <w:rsid w:val="0061153C"/>
    <w:rsid w:val="006E6808"/>
    <w:rsid w:val="007C4871"/>
    <w:rsid w:val="007C6979"/>
    <w:rsid w:val="007D2A96"/>
    <w:rsid w:val="00805BEA"/>
    <w:rsid w:val="0083284A"/>
    <w:rsid w:val="008A148D"/>
    <w:rsid w:val="009A7D9F"/>
    <w:rsid w:val="00BD333E"/>
    <w:rsid w:val="00C21F4B"/>
    <w:rsid w:val="00CA6686"/>
    <w:rsid w:val="00CF592D"/>
    <w:rsid w:val="00D93AA1"/>
    <w:rsid w:val="00E372FF"/>
    <w:rsid w:val="00E67FF9"/>
    <w:rsid w:val="00EB4D3D"/>
    <w:rsid w:val="00FA7D4F"/>
    <w:rsid w:val="00FD6231"/>
    <w:rsid w:val="00FD6C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D33CC"/>
  <w15:docId w15:val="{06D1DAFD-CBF4-4595-996E-89F5F50A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elvetica" w:eastAsiaTheme="minorHAnsi" w:hAnsi="Helvetica" w:cs="Arial"/>
        <w:sz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7D4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7775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
    <w:name w:val="header"/>
    <w:basedOn w:val="Normal"/>
    <w:link w:val="EncabezadoCar"/>
    <w:unhideWhenUsed/>
    <w:rsid w:val="00CA6686"/>
    <w:pPr>
      <w:tabs>
        <w:tab w:val="center" w:pos="4252"/>
        <w:tab w:val="right" w:pos="8504"/>
      </w:tabs>
      <w:spacing w:after="0" w:line="240" w:lineRule="auto"/>
    </w:pPr>
  </w:style>
  <w:style w:type="character" w:customStyle="1" w:styleId="EncabezadoCar">
    <w:name w:val="Encabezado Car"/>
    <w:basedOn w:val="Fuentedeprrafopredeter"/>
    <w:link w:val="Encabezado"/>
    <w:rsid w:val="00CA6686"/>
  </w:style>
  <w:style w:type="paragraph" w:styleId="Piedepgina">
    <w:name w:val="footer"/>
    <w:basedOn w:val="Normal"/>
    <w:link w:val="PiedepginaCar"/>
    <w:uiPriority w:val="99"/>
    <w:semiHidden/>
    <w:unhideWhenUsed/>
    <w:rsid w:val="00CA668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CA6686"/>
  </w:style>
  <w:style w:type="paragraph" w:styleId="Textodeglobo">
    <w:name w:val="Balloon Text"/>
    <w:basedOn w:val="Normal"/>
    <w:link w:val="TextodegloboCar"/>
    <w:uiPriority w:val="99"/>
    <w:semiHidden/>
    <w:unhideWhenUsed/>
    <w:rsid w:val="00CA668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A66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936</Words>
  <Characters>5151</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http://www.centor.mx.gd</Company>
  <LinksUpToDate>false</LinksUpToDate>
  <CharactersWithSpaces>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dc:creator>
  <cp:lastModifiedBy>SIG</cp:lastModifiedBy>
  <cp:revision>5</cp:revision>
  <dcterms:created xsi:type="dcterms:W3CDTF">2018-12-03T15:53:00Z</dcterms:created>
  <dcterms:modified xsi:type="dcterms:W3CDTF">2019-10-02T10:36:00Z</dcterms:modified>
</cp:coreProperties>
</file>